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851"/>
        <w:gridCol w:w="567"/>
        <w:gridCol w:w="1275"/>
        <w:gridCol w:w="1276"/>
        <w:gridCol w:w="1134"/>
        <w:gridCol w:w="1418"/>
        <w:gridCol w:w="851"/>
      </w:tblGrid>
      <w:tr w:rsidR="00D747E2" w:rsidRPr="00936E85" w:rsidTr="00A93A3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8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567"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A93A3D" w:rsidRPr="00936E85" w:rsidTr="00A93A3D">
        <w:trPr>
          <w:trHeight w:val="462"/>
          <w:jc w:val="center"/>
        </w:trPr>
        <w:tc>
          <w:tcPr>
            <w:tcW w:w="421" w:type="dxa"/>
            <w:vAlign w:val="center"/>
          </w:tcPr>
          <w:p w:rsidR="00A93A3D" w:rsidRPr="007745A5"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Osman Ulubaş Köşk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731</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E72360" w:rsidP="00A93A3D">
            <w:pPr>
              <w:pStyle w:val="AralkYok"/>
              <w:jc w:val="center"/>
              <w:rPr>
                <w:rFonts w:ascii="Verdana" w:hAnsi="Verdana" w:cs="Times New Roman"/>
                <w:i/>
                <w:sz w:val="16"/>
                <w:szCs w:val="16"/>
              </w:rPr>
            </w:pPr>
            <w:r>
              <w:rPr>
                <w:rFonts w:ascii="Verdana" w:hAnsi="Verdana" w:cs="Times New Roman"/>
                <w:i/>
                <w:sz w:val="16"/>
                <w:szCs w:val="16"/>
              </w:rPr>
              <w:t>7.200,00</w:t>
            </w:r>
            <w:r w:rsidR="00A93A3D" w:rsidRPr="00A93A3D">
              <w:rPr>
                <w:rFonts w:ascii="Verdana" w:hAnsi="Verdana" w:cs="Times New Roman"/>
                <w:i/>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E72360" w:rsidP="00A93A3D">
            <w:pPr>
              <w:pStyle w:val="AralkYok"/>
              <w:jc w:val="center"/>
              <w:rPr>
                <w:rFonts w:ascii="Verdana" w:hAnsi="Verdana" w:cs="Times New Roman"/>
                <w:i/>
                <w:sz w:val="16"/>
                <w:szCs w:val="16"/>
              </w:rPr>
            </w:pPr>
            <w:r>
              <w:rPr>
                <w:rFonts w:ascii="Verdana" w:hAnsi="Verdana" w:cs="Times New Roman"/>
                <w:i/>
                <w:sz w:val="16"/>
                <w:szCs w:val="16"/>
              </w:rPr>
              <w:t>6.120,00</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50.135,00TL</w:t>
            </w:r>
          </w:p>
        </w:tc>
        <w:tc>
          <w:tcPr>
            <w:tcW w:w="1418" w:type="dxa"/>
            <w:vAlign w:val="center"/>
          </w:tcPr>
          <w:p w:rsidR="00A93A3D" w:rsidRPr="00A93A3D" w:rsidRDefault="00A93A3D" w:rsidP="00A93A3D">
            <w:pPr>
              <w:spacing w:before="120" w:after="120"/>
              <w:ind w:left="120" w:right="120"/>
              <w:rPr>
                <w:rFonts w:ascii="Verdana" w:eastAsia="Times New Roman" w:hAnsi="Verdana" w:cs="Times New Roman"/>
                <w:i/>
                <w:color w:val="000000"/>
                <w:sz w:val="16"/>
                <w:szCs w:val="16"/>
                <w:lang w:eastAsia="tr-TR"/>
              </w:rPr>
            </w:pPr>
            <w:r w:rsidRPr="00A93A3D">
              <w:rPr>
                <w:rFonts w:ascii="Verdana" w:eastAsia="Times New Roman" w:hAnsi="Verdana" w:cs="Times New Roman"/>
                <w:i/>
                <w:color w:val="000000"/>
                <w:sz w:val="16"/>
                <w:szCs w:val="16"/>
                <w:lang w:eastAsia="tr-TR"/>
              </w:rPr>
              <w:t>01/12/2021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09:30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Belsin Çok Programlı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796</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3.000,00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2.550,00 TL</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10.000,00TL.</w:t>
            </w:r>
          </w:p>
        </w:tc>
        <w:tc>
          <w:tcPr>
            <w:tcW w:w="1418" w:type="dxa"/>
            <w:vAlign w:val="center"/>
          </w:tcPr>
          <w:p w:rsidR="00A93A3D" w:rsidRPr="00A93A3D" w:rsidRDefault="00A93A3D" w:rsidP="00A93A3D">
            <w:pPr>
              <w:spacing w:before="120" w:after="120"/>
              <w:ind w:left="120" w:right="120"/>
              <w:rPr>
                <w:rFonts w:ascii="Verdana" w:eastAsia="Times New Roman" w:hAnsi="Verdana" w:cs="Times New Roman"/>
                <w:i/>
                <w:color w:val="000000"/>
                <w:sz w:val="16"/>
                <w:szCs w:val="16"/>
                <w:lang w:eastAsia="tr-TR"/>
              </w:rPr>
            </w:pPr>
            <w:r w:rsidRPr="00A93A3D">
              <w:rPr>
                <w:rFonts w:ascii="Verdana" w:eastAsia="Times New Roman" w:hAnsi="Verdana" w:cs="Times New Roman"/>
                <w:i/>
                <w:color w:val="000000"/>
                <w:sz w:val="16"/>
                <w:szCs w:val="16"/>
                <w:lang w:eastAsia="tr-TR"/>
              </w:rPr>
              <w:t>01/12/2021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10:00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proofErr w:type="spellStart"/>
            <w:r w:rsidRPr="00A93A3D">
              <w:rPr>
                <w:rFonts w:ascii="Verdana" w:hAnsi="Verdana" w:cs="Times New Roman"/>
                <w:i/>
                <w:sz w:val="16"/>
                <w:szCs w:val="16"/>
              </w:rPr>
              <w:t>Gesi</w:t>
            </w:r>
            <w:proofErr w:type="spellEnd"/>
            <w:r w:rsidRPr="00A93A3D">
              <w:rPr>
                <w:rFonts w:ascii="Verdana" w:hAnsi="Verdana" w:cs="Times New Roman"/>
                <w:i/>
                <w:sz w:val="16"/>
                <w:szCs w:val="16"/>
              </w:rPr>
              <w:t xml:space="preserve"> Şehit Mustafa Bulut Anadolu Lisesi</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160</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1.150,00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977,50 TL</w:t>
            </w:r>
          </w:p>
        </w:tc>
        <w:tc>
          <w:tcPr>
            <w:tcW w:w="1134"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w:t>
            </w:r>
          </w:p>
        </w:tc>
        <w:tc>
          <w:tcPr>
            <w:tcW w:w="1418" w:type="dxa"/>
            <w:vAlign w:val="center"/>
          </w:tcPr>
          <w:p w:rsidR="00A93A3D" w:rsidRPr="00A93A3D" w:rsidRDefault="00A93A3D" w:rsidP="00A93A3D">
            <w:pPr>
              <w:spacing w:before="120" w:after="120"/>
              <w:ind w:left="120" w:right="120"/>
              <w:rPr>
                <w:rFonts w:ascii="Verdana" w:eastAsia="Times New Roman" w:hAnsi="Verdana" w:cs="Times New Roman"/>
                <w:i/>
                <w:color w:val="000000"/>
                <w:sz w:val="16"/>
                <w:szCs w:val="16"/>
                <w:lang w:eastAsia="tr-TR"/>
              </w:rPr>
            </w:pPr>
            <w:r w:rsidRPr="00A93A3D">
              <w:rPr>
                <w:rFonts w:ascii="Verdana" w:eastAsia="Times New Roman" w:hAnsi="Verdana" w:cs="Times New Roman"/>
                <w:i/>
                <w:color w:val="000000"/>
                <w:sz w:val="16"/>
                <w:szCs w:val="16"/>
                <w:lang w:eastAsia="tr-TR"/>
              </w:rPr>
              <w:t>01/12/2021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10:30</w:t>
            </w:r>
          </w:p>
        </w:tc>
      </w:tr>
      <w:tr w:rsidR="00A93A3D" w:rsidRPr="00936E85" w:rsidTr="00A93A3D">
        <w:trPr>
          <w:trHeight w:val="501"/>
          <w:jc w:val="center"/>
        </w:trPr>
        <w:tc>
          <w:tcPr>
            <w:tcW w:w="421" w:type="dxa"/>
            <w:vAlign w:val="center"/>
          </w:tcPr>
          <w:p w:rsidR="00A93A3D" w:rsidRDefault="00A93A3D" w:rsidP="00A93A3D">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both"/>
              <w:rPr>
                <w:rFonts w:ascii="Verdana" w:hAnsi="Verdana" w:cs="Times New Roman"/>
                <w:i/>
                <w:sz w:val="16"/>
                <w:szCs w:val="16"/>
              </w:rPr>
            </w:pPr>
            <w:r w:rsidRPr="00A93A3D">
              <w:rPr>
                <w:rFonts w:ascii="Verdana" w:hAnsi="Verdana" w:cs="Times New Roman"/>
                <w:i/>
                <w:sz w:val="16"/>
                <w:szCs w:val="16"/>
              </w:rPr>
              <w:t xml:space="preserve">İbrahim </w:t>
            </w:r>
            <w:proofErr w:type="spellStart"/>
            <w:r w:rsidRPr="00A93A3D">
              <w:rPr>
                <w:rFonts w:ascii="Verdana" w:hAnsi="Verdana" w:cs="Times New Roman"/>
                <w:i/>
                <w:sz w:val="16"/>
                <w:szCs w:val="16"/>
              </w:rPr>
              <w:t>Yüzbaşıoglu</w:t>
            </w:r>
            <w:proofErr w:type="spellEnd"/>
            <w:r w:rsidRPr="00A93A3D">
              <w:rPr>
                <w:rFonts w:ascii="Verdana" w:hAnsi="Verdana" w:cs="Times New Roman"/>
                <w:i/>
                <w:sz w:val="16"/>
                <w:szCs w:val="16"/>
              </w:rPr>
              <w:t xml:space="preserve"> Ortaokulu</w:t>
            </w:r>
          </w:p>
        </w:tc>
        <w:tc>
          <w:tcPr>
            <w:tcW w:w="851" w:type="dxa"/>
            <w:vAlign w:val="center"/>
          </w:tcPr>
          <w:p w:rsidR="00A93A3D" w:rsidRPr="00A93A3D" w:rsidRDefault="00A93A3D" w:rsidP="00A93A3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567"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880</w:t>
            </w:r>
          </w:p>
        </w:tc>
        <w:tc>
          <w:tcPr>
            <w:tcW w:w="1275"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2.000,00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1.700,00 TL</w:t>
            </w:r>
          </w:p>
        </w:tc>
        <w:tc>
          <w:tcPr>
            <w:tcW w:w="1134" w:type="dxa"/>
            <w:vAlign w:val="center"/>
          </w:tcPr>
          <w:p w:rsidR="00A93A3D" w:rsidRPr="00A93A3D" w:rsidRDefault="006F3A99" w:rsidP="006F3A99">
            <w:pPr>
              <w:pStyle w:val="AralkYok"/>
              <w:rPr>
                <w:rFonts w:ascii="Times New Roman" w:hAnsi="Times New Roman" w:cs="Times New Roman"/>
                <w:i/>
                <w:sz w:val="16"/>
                <w:szCs w:val="16"/>
              </w:rPr>
            </w:pPr>
            <w:r>
              <w:rPr>
                <w:rFonts w:ascii="Times New Roman" w:hAnsi="Times New Roman" w:cs="Times New Roman"/>
                <w:i/>
                <w:sz w:val="16"/>
                <w:szCs w:val="16"/>
              </w:rPr>
              <w:t xml:space="preserve">   5.000,00 TL</w:t>
            </w:r>
          </w:p>
        </w:tc>
        <w:tc>
          <w:tcPr>
            <w:tcW w:w="1418" w:type="dxa"/>
            <w:vAlign w:val="center"/>
          </w:tcPr>
          <w:p w:rsidR="00A93A3D" w:rsidRPr="00A93A3D" w:rsidRDefault="00A93A3D" w:rsidP="00A93A3D">
            <w:pPr>
              <w:spacing w:before="120" w:after="120"/>
              <w:ind w:left="120" w:right="120"/>
              <w:rPr>
                <w:rFonts w:ascii="Verdana" w:eastAsia="Times New Roman" w:hAnsi="Verdana" w:cs="Times New Roman"/>
                <w:i/>
                <w:color w:val="000000"/>
                <w:sz w:val="16"/>
                <w:szCs w:val="16"/>
                <w:lang w:eastAsia="tr-TR"/>
              </w:rPr>
            </w:pPr>
            <w:r w:rsidRPr="00A93A3D">
              <w:rPr>
                <w:rFonts w:ascii="Verdana" w:eastAsia="Times New Roman" w:hAnsi="Verdana" w:cs="Times New Roman"/>
                <w:i/>
                <w:color w:val="000000"/>
                <w:sz w:val="16"/>
                <w:szCs w:val="16"/>
                <w:lang w:eastAsia="tr-TR"/>
              </w:rPr>
              <w:t>01</w:t>
            </w:r>
            <w:bookmarkStart w:id="0" w:name="_GoBack"/>
            <w:bookmarkEnd w:id="0"/>
            <w:r w:rsidRPr="00A93A3D">
              <w:rPr>
                <w:rFonts w:ascii="Verdana" w:eastAsia="Times New Roman" w:hAnsi="Verdana" w:cs="Times New Roman"/>
                <w:i/>
                <w:color w:val="000000"/>
                <w:sz w:val="16"/>
                <w:szCs w:val="16"/>
                <w:lang w:eastAsia="tr-TR"/>
              </w:rPr>
              <w:t>/12/2021</w:t>
            </w:r>
          </w:p>
        </w:tc>
        <w:tc>
          <w:tcPr>
            <w:tcW w:w="851" w:type="dxa"/>
            <w:vAlign w:val="center"/>
          </w:tcPr>
          <w:p w:rsidR="00A93A3D" w:rsidRPr="00A93A3D" w:rsidRDefault="00A93A3D" w:rsidP="00A93A3D">
            <w:pPr>
              <w:pStyle w:val="AralkYok"/>
              <w:jc w:val="center"/>
              <w:rPr>
                <w:rFonts w:ascii="Verdana" w:hAnsi="Verdana" w:cs="Times New Roman"/>
                <w:i/>
                <w:sz w:val="16"/>
                <w:szCs w:val="16"/>
              </w:rPr>
            </w:pPr>
            <w:r w:rsidRPr="00A93A3D">
              <w:rPr>
                <w:rFonts w:ascii="Verdana" w:hAnsi="Verdana" w:cs="Times New Roman"/>
                <w:i/>
                <w:sz w:val="16"/>
                <w:szCs w:val="16"/>
              </w:rPr>
              <w:t>11:00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 xml:space="preserve">hale komisyonu başkanı ve üyeleri </w:t>
      </w:r>
      <w:r w:rsidRPr="00A11AF6">
        <w:rPr>
          <w:rFonts w:ascii="Times New Roman" w:hAnsi="Times New Roman" w:cs="Times New Roman"/>
        </w:rPr>
        <w:lastRenderedPageBreak/>
        <w:t>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E61A90">
        <w:rPr>
          <w:rFonts w:ascii="Times New Roman" w:hAnsi="Times New Roman" w:cs="Times New Roman"/>
        </w:rPr>
        <w:t>24/11</w:t>
      </w:r>
      <w:r w:rsidR="0026322C">
        <w:rPr>
          <w:rFonts w:ascii="Times New Roman" w:hAnsi="Times New Roman" w:cs="Times New Roman"/>
        </w:rPr>
        <w:t>/2021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6F3A99"/>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348E"/>
    <w:rsid w:val="00B0556B"/>
    <w:rsid w:val="00B11E51"/>
    <w:rsid w:val="00B1482A"/>
    <w:rsid w:val="00B2389E"/>
    <w:rsid w:val="00B44B98"/>
    <w:rsid w:val="00B5197C"/>
    <w:rsid w:val="00B70856"/>
    <w:rsid w:val="00B71422"/>
    <w:rsid w:val="00B75BC8"/>
    <w:rsid w:val="00B77855"/>
    <w:rsid w:val="00B8209F"/>
    <w:rsid w:val="00B82330"/>
    <w:rsid w:val="00B94EA7"/>
    <w:rsid w:val="00B961FE"/>
    <w:rsid w:val="00BA684C"/>
    <w:rsid w:val="00BB30AA"/>
    <w:rsid w:val="00BB4046"/>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2D39"/>
    <w:rsid w:val="00E3424C"/>
    <w:rsid w:val="00E407FF"/>
    <w:rsid w:val="00E47084"/>
    <w:rsid w:val="00E47101"/>
    <w:rsid w:val="00E51E29"/>
    <w:rsid w:val="00E536B0"/>
    <w:rsid w:val="00E61A90"/>
    <w:rsid w:val="00E637E8"/>
    <w:rsid w:val="00E639FB"/>
    <w:rsid w:val="00E72360"/>
    <w:rsid w:val="00E7285D"/>
    <w:rsid w:val="00E731EF"/>
    <w:rsid w:val="00E87BB7"/>
    <w:rsid w:val="00E93522"/>
    <w:rsid w:val="00E94513"/>
    <w:rsid w:val="00EA6806"/>
    <w:rsid w:val="00EC1672"/>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2CB3"/>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6ED3-B197-4B4A-BA14-0917F736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14084</Characters>
  <Application>Microsoft Office Word</Application>
  <DocSecurity>4</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recep</cp:lastModifiedBy>
  <cp:revision>2</cp:revision>
  <cp:lastPrinted>2017-10-12T11:39:00Z</cp:lastPrinted>
  <dcterms:created xsi:type="dcterms:W3CDTF">2021-11-26T13:26:00Z</dcterms:created>
  <dcterms:modified xsi:type="dcterms:W3CDTF">2021-11-26T13:26:00Z</dcterms:modified>
</cp:coreProperties>
</file>